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160</w:t>
      </w:r>
    </w:p>
    <w:p>
      <w:r>
        <w:t>Bundesgericht (BGE), 2019-01-01, FR</w:t>
      </w:r>
    </w:p>
    <w:p>
      <w:r>
        <w:rPr>
          <w:b/>
        </w:rPr>
        <w:t xml:space="preserve">Quelle: </w:t>
      </w:r>
      <w:r>
        <w:t>https://mcp.opencaselaw.ch/entscheid/bge_145 III 160</w:t>
      </w:r>
    </w:p>
    <w:p>
      <w:r>
        <w:t>FR: ATF 145 III 160</w:t>
      </w:r>
    </w:p>
    <w:p>
      <w:r>
        <w:t>IT: DTF 145 III 160</w:t>
      </w:r>
    </w:p>
    <w:p>
      <w:pPr>
        <w:pStyle w:val="Heading2"/>
      </w:pPr>
      <w:r>
        <w:t>Regeste</w:t>
      </w:r>
    </w:p>
    <w:p>
      <w:r>
        <w:t>Regeste Art. 82 SchKG; Art. 254 Abs. 1 ZPO; provisorische Rechtsöffnung; Beweismittel des Betreibenden. Den Nachweis, dass eine Schuldanerkennung zu seinen Gunsten besteht, der die Qualität eines provisorischen Rechtsöffnungstitels zukommt, kann der Betreibende mit keinem anderen Beweismittel als der die Schuldanerkennung enthaltenden Urkunde selbst erbringen (E. 5).</w:t>
      </w:r>
    </w:p>
    <w:p>
      <w:pPr>
        <w:pStyle w:val="Heading2"/>
      </w:pPr>
      <w:r>
        <w:t>Erwägungen</w:t>
      </w:r>
    </w:p>
    <w:p>
      <w:r>
        <w:rPr>
          <w:b/>
        </w:rPr>
        <w:t>E. 5</w:t>
      </w:r>
    </w:p>
    <w:p>
      <w:r>
        <w:t>La première question qui se pose est celle des moyens de preuve sur lesquels le juge de la mainlevée peut se fonder pour établir si le poursuivant est au bénéfice d'un titre de mainlevée provisoire.</w:t>
      </w:r>
    </w:p>
    <w:p>
      <w:r>
        <w:rPr>
          <w:b/>
        </w:rPr>
        <w:t>E. 5.1</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 ATF 142 III 720 consid. 4.1). La procédure de mainlevée provisoire n'a un caractère sommaire au sens propre (sur cette notion: ATF 138 III 636 consid. 4.3.2 et les références) qu'en ce qui concerne les objections, que le débiteur a seulement à rendre vraisemblables, en principe par titre ( art. 254 al. 1 CPC ; ATF 145 III 20 consid. 4.1.2; ATF 142 III 720 consid. 4.1), d'autres moyens de preuves immédiatement disponibles n'étant pas exclus ( ATF 132 III 140 consid 4.1.2). Il est inhérent à l'objet de la procédure de mainlevée que les moyens de preuve que le créancier peut faire valoir pour obtenir la mainlevée sont limités à certains titres définis par la loi (art. 80 al. 1 et 82 al. 1 LP; STOFFEL/CHABLOZ, Voies d'exécution, 3 e éd. 2016, § 4 n. 85). Ce n'est que pour les moyens libératoires du débiteur que d'autres moyens de preuve que le titre ne sont pas exclus, la nature même du moyen libératoire invoqué pouvant toutefois exiger la preuve par titre (arrêt 5A_467/2015 du 25 août 2016 consid. 4.5.3, in SJ 2016 I p. 481 et RtiD 2017 I p. 733 [objection de compensation]). Le poursuivant ne peut donc pas convaincre le juge qu'il bénéficie d'une reconnaissance de dette valant titre de mainlevée en offrant d'autres preuves que ce titre lui-même, notamment son interrogatoire ou un témoignage.</w:t>
      </w:r>
    </w:p>
    <w:p>
      <w:r>
        <w:rPr>
          <w:b/>
        </w:rPr>
        <w:t>E. 5.2</w:t>
      </w:r>
    </w:p>
    <w:p>
      <w:r>
        <w:t>En l'espèce, en tant que l'autorité cantonale s'est fondée sur les déclarations de l'intimée en audience devant le premier juge en relation avec les dates des cédules hypothécaires (cf. supra let. B.a.b) BGE 145 III 160 S. 164 et sur le fait que le recourant n'avait pas fait opposition au commandement de payer qui lui avait été notifié le 21 novembre 2016 concernant les intérêts hypothécaires et moratoires pour retenir que l'intimée est au bénéfice d'un titre de mainlevée provisoire, elle a violé l' art. 82 LP . De tels moyens de preuve ne peuvent pas pallier l'absence d'une reconnaissance de dette revêtant les caractéristiques d'un titre de mainlevée, qui doit obligatoirement être produit pour obtenir la mainlevée de l'opposition. Il reste toutefois à déterminer si l'autorité cantonale pouvait parvenir à ce même résultat sur la base des seuls documents produits par l'intimée devant le premier juge, étant précisé que le recourant conteste l'existence d'un tel titre en raison du défaut d'identité entre les cédules produites à l'appui de la requête de mainlevée et celles mentionnées dans le commandement de payer.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